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477FF5" w:rsidRPr="001D11BC" w:rsidTr="009E786E">
        <w:tc>
          <w:tcPr>
            <w:tcW w:w="9778" w:type="dxa"/>
            <w:shd w:val="clear" w:color="auto" w:fill="auto"/>
          </w:tcPr>
          <w:p w:rsidR="00CB76D5" w:rsidRPr="001D11BC" w:rsidRDefault="00477FF5" w:rsidP="00CB76D5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D1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B76D5" w:rsidRPr="00AA1B99" w:rsidRDefault="00CB76D5" w:rsidP="00CB76D5">
            <w:pPr>
              <w:snapToGrid w:val="0"/>
              <w:ind w:hanging="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B99">
              <w:rPr>
                <w:rFonts w:ascii="Times New Roman" w:hAnsi="Times New Roman" w:cs="Times New Roman"/>
                <w:b/>
                <w:sz w:val="24"/>
                <w:szCs w:val="24"/>
              </w:rPr>
              <w:t>LOTTO 20 - SISTEMA DIAGNOSTICO IN BIOLOGIA MOLECOLARE PER LA RICERCA DI MYCOBACTERIUM TUBERCULOSIS COMPLEX E CARBAPENEMASI</w:t>
            </w:r>
          </w:p>
          <w:p w:rsidR="00477FF5" w:rsidRPr="001D11BC" w:rsidRDefault="00477FF5" w:rsidP="00CB76D5">
            <w:pPr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477FF5" w:rsidRPr="00516377" w:rsidRDefault="00477FF5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Toc98168062"/>
      <w:bookmarkEnd w:id="0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CB76D5" w:rsidRPr="006E7D6D" w:rsidRDefault="00CB76D5" w:rsidP="00CB76D5">
            <w:pPr>
              <w:pStyle w:val="NormaleWeb"/>
              <w:numPr>
                <w:ilvl w:val="0"/>
                <w:numId w:val="1"/>
              </w:numPr>
              <w:suppressAutoHyphens w:val="0"/>
              <w:spacing w:before="0" w:after="0"/>
              <w:contextualSpacing/>
              <w:jc w:val="both"/>
              <w:textAlignment w:val="top"/>
              <w:outlineLvl w:val="0"/>
            </w:pPr>
            <w:r w:rsidRPr="006E7D6D">
              <w:t xml:space="preserve">Il sistema deve permettere la simultanea identificazione di M. </w:t>
            </w:r>
            <w:proofErr w:type="spellStart"/>
            <w:r w:rsidRPr="006E7D6D">
              <w:t>Tubercolosis</w:t>
            </w:r>
            <w:proofErr w:type="spellEnd"/>
            <w:r w:rsidRPr="006E7D6D">
              <w:t xml:space="preserve"> </w:t>
            </w:r>
            <w:proofErr w:type="spellStart"/>
            <w:r w:rsidRPr="006E7D6D">
              <w:t>complex</w:t>
            </w:r>
            <w:proofErr w:type="spellEnd"/>
            <w:r w:rsidRPr="006E7D6D">
              <w:t xml:space="preserve"> e delle mutazioni del gene associato alla resistenza alla Rifampicina;</w:t>
            </w:r>
          </w:p>
          <w:p w:rsidR="00CB76D5" w:rsidRPr="006E7D6D" w:rsidRDefault="00CB76D5" w:rsidP="00CB76D5">
            <w:pPr>
              <w:pStyle w:val="NormaleWeb"/>
              <w:numPr>
                <w:ilvl w:val="0"/>
                <w:numId w:val="1"/>
              </w:numPr>
              <w:suppressAutoHyphens w:val="0"/>
              <w:spacing w:before="0" w:after="0"/>
              <w:contextualSpacing/>
              <w:jc w:val="both"/>
              <w:textAlignment w:val="top"/>
              <w:outlineLvl w:val="0"/>
            </w:pPr>
            <w:r w:rsidRPr="006E7D6D">
              <w:t>Il sistema deve comprendere la simultanea identificazione dei geni KPC, NDM, VIM, OXA-48;</w:t>
            </w:r>
          </w:p>
          <w:p w:rsidR="00CB76D5" w:rsidRPr="006E7D6D" w:rsidRDefault="00CB76D5" w:rsidP="00CB76D5">
            <w:pPr>
              <w:pStyle w:val="NormaleWeb"/>
              <w:numPr>
                <w:ilvl w:val="0"/>
                <w:numId w:val="1"/>
              </w:numPr>
              <w:suppressAutoHyphens w:val="0"/>
              <w:spacing w:before="0" w:after="0"/>
              <w:contextualSpacing/>
              <w:jc w:val="both"/>
              <w:textAlignment w:val="top"/>
              <w:outlineLvl w:val="0"/>
            </w:pPr>
            <w:r w:rsidRPr="006E7D6D">
              <w:t>Il sistema deve essere chiuso e completamente integrato;</w:t>
            </w:r>
          </w:p>
          <w:p w:rsidR="00CB76D5" w:rsidRPr="006E7D6D" w:rsidRDefault="00CB76D5" w:rsidP="00CB76D5">
            <w:pPr>
              <w:pStyle w:val="NormaleWeb"/>
              <w:numPr>
                <w:ilvl w:val="0"/>
                <w:numId w:val="1"/>
              </w:numPr>
              <w:suppressAutoHyphens w:val="0"/>
              <w:spacing w:before="0" w:after="0"/>
              <w:contextualSpacing/>
              <w:jc w:val="both"/>
              <w:textAlignment w:val="top"/>
              <w:outlineLvl w:val="0"/>
            </w:pPr>
            <w:r w:rsidRPr="006E7D6D">
              <w:t>I risultati devono essere disponibili entro due ore;</w:t>
            </w:r>
          </w:p>
          <w:p w:rsidR="00CB76D5" w:rsidRPr="006E7D6D" w:rsidRDefault="00CB76D5" w:rsidP="00CB76D5">
            <w:pPr>
              <w:pStyle w:val="NormaleWeb"/>
              <w:numPr>
                <w:ilvl w:val="0"/>
                <w:numId w:val="1"/>
              </w:numPr>
              <w:suppressAutoHyphens w:val="0"/>
              <w:spacing w:before="0" w:after="0"/>
              <w:contextualSpacing/>
              <w:jc w:val="both"/>
              <w:textAlignment w:val="top"/>
              <w:outlineLvl w:val="0"/>
            </w:pPr>
            <w:r w:rsidRPr="006E7D6D">
              <w:t xml:space="preserve">Deve essere previsto un controllo delle sonde utilizzate ed un controllo di </w:t>
            </w:r>
            <w:proofErr w:type="spellStart"/>
            <w:r w:rsidRPr="006E7D6D">
              <w:t>processamento</w:t>
            </w:r>
            <w:proofErr w:type="spellEnd"/>
            <w:r w:rsidRPr="006E7D6D">
              <w:t xml:space="preserve"> del campione.</w:t>
            </w:r>
          </w:p>
          <w:p w:rsidR="00CB76D5" w:rsidRPr="006E7D6D" w:rsidRDefault="00CB76D5" w:rsidP="00CB76D5">
            <w:pPr>
              <w:pStyle w:val="NormaleWeb"/>
              <w:numPr>
                <w:ilvl w:val="0"/>
                <w:numId w:val="1"/>
              </w:numPr>
              <w:suppressAutoHyphens w:val="0"/>
              <w:spacing w:before="0" w:after="0"/>
              <w:contextualSpacing/>
              <w:jc w:val="both"/>
              <w:textAlignment w:val="top"/>
              <w:outlineLvl w:val="0"/>
            </w:pPr>
            <w:r w:rsidRPr="006E7D6D">
              <w:t>Al fine di garantire la corretta esecuzione dei test richiesti di cui all’Allegato A, cui si r</w:t>
            </w:r>
            <w:r w:rsidRPr="006E7D6D">
              <w:t>i</w:t>
            </w:r>
            <w:r w:rsidRPr="006E7D6D">
              <w:t xml:space="preserve">manda per il lotto specifico, il sistema offerto per ciascuna sede dovrà garantire </w:t>
            </w:r>
            <w:r w:rsidRPr="006E7D6D">
              <w:rPr>
                <w:u w:val="single"/>
              </w:rPr>
              <w:t>l’esecuzione contemporanea</w:t>
            </w:r>
            <w:r w:rsidRPr="006E7D6D">
              <w:t xml:space="preserve"> di almeno:</w:t>
            </w:r>
          </w:p>
          <w:p w:rsidR="00CB76D5" w:rsidRPr="006E7D6D" w:rsidRDefault="00CB76D5" w:rsidP="00CB76D5">
            <w:pPr>
              <w:pStyle w:val="NormaleWeb"/>
              <w:suppressAutoHyphens w:val="0"/>
              <w:spacing w:before="0" w:after="0"/>
              <w:ind w:left="720"/>
              <w:contextualSpacing/>
              <w:jc w:val="both"/>
            </w:pPr>
          </w:p>
          <w:p w:rsidR="00CB76D5" w:rsidRPr="006E7D6D" w:rsidRDefault="00CB76D5" w:rsidP="00CB76D5">
            <w:pPr>
              <w:pStyle w:val="NormaleWeb"/>
              <w:suppressAutoHyphens w:val="0"/>
              <w:spacing w:before="0" w:after="0"/>
              <w:ind w:left="720"/>
              <w:contextualSpacing/>
              <w:jc w:val="both"/>
            </w:pPr>
            <w:r w:rsidRPr="006E7D6D">
              <w:t>10 campioni per il Presidio Ospedaliero di Treviso;</w:t>
            </w:r>
          </w:p>
          <w:p w:rsidR="00CB76D5" w:rsidRPr="006E7D6D" w:rsidRDefault="00CB76D5" w:rsidP="00CB76D5">
            <w:pPr>
              <w:pStyle w:val="NormaleWeb"/>
              <w:suppressAutoHyphens w:val="0"/>
              <w:spacing w:before="0" w:after="0"/>
              <w:ind w:left="720"/>
              <w:contextualSpacing/>
              <w:jc w:val="both"/>
            </w:pPr>
            <w:r w:rsidRPr="006E7D6D">
              <w:t>2 campioni per il Presidio Ospedaliero di Castelfranco Veneto;</w:t>
            </w:r>
          </w:p>
          <w:p w:rsidR="00CB76D5" w:rsidRPr="006E7D6D" w:rsidRDefault="00CB76D5" w:rsidP="00CB76D5">
            <w:pPr>
              <w:pStyle w:val="NormaleWeb"/>
              <w:suppressAutoHyphens w:val="0"/>
              <w:spacing w:before="0" w:after="0"/>
              <w:ind w:left="720"/>
              <w:contextualSpacing/>
              <w:jc w:val="both"/>
            </w:pPr>
            <w:r w:rsidRPr="006E7D6D">
              <w:t>2 campioni per il Presidio Ospedaliero di Conegliano.</w:t>
            </w:r>
          </w:p>
          <w:p w:rsidR="00CB76D5" w:rsidRPr="006E7D6D" w:rsidRDefault="00CB76D5" w:rsidP="00CB76D5">
            <w:pPr>
              <w:pStyle w:val="NormaleWeb"/>
              <w:suppressAutoHyphens w:val="0"/>
              <w:spacing w:before="0" w:after="0"/>
              <w:ind w:left="720"/>
              <w:contextualSpacing/>
              <w:jc w:val="both"/>
            </w:pPr>
          </w:p>
          <w:p w:rsidR="00CB76D5" w:rsidRPr="006E7D6D" w:rsidRDefault="00CB76D5" w:rsidP="00CB76D5">
            <w:pPr>
              <w:pStyle w:val="NormaleWeb"/>
              <w:numPr>
                <w:ilvl w:val="0"/>
                <w:numId w:val="1"/>
              </w:numPr>
              <w:suppressAutoHyphens w:val="0"/>
              <w:spacing w:before="0" w:after="159"/>
              <w:jc w:val="both"/>
              <w:rPr>
                <w:color w:val="000000"/>
              </w:rPr>
            </w:pPr>
            <w:r w:rsidRPr="006E7D6D">
              <w:rPr>
                <w:color w:val="000000"/>
              </w:rPr>
              <w:t>Servizio di assistenza tecnica per hardware e software, con intervento on site entro 8 ore l</w:t>
            </w:r>
            <w:r w:rsidRPr="006E7D6D">
              <w:rPr>
                <w:color w:val="000000"/>
              </w:rPr>
              <w:t>a</w:t>
            </w:r>
            <w:r w:rsidRPr="006E7D6D">
              <w:rPr>
                <w:color w:val="000000"/>
              </w:rPr>
              <w:t>vorative dalla chiamata dal lunedì al venerdì. Servizio di assistenza telefonica fornito da operatori specializzati per hardware e software 5 gg su 7 disponibile 8 ore lavorative al gio</w:t>
            </w:r>
            <w:r w:rsidRPr="006E7D6D">
              <w:rPr>
                <w:color w:val="000000"/>
              </w:rPr>
              <w:t>r</w:t>
            </w:r>
            <w:r w:rsidRPr="006E7D6D">
              <w:rPr>
                <w:color w:val="000000"/>
              </w:rPr>
              <w:t>no.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CB76D5" w:rsidRPr="00516377" w:rsidTr="009E786E">
        <w:trPr>
          <w:trHeight w:val="20"/>
        </w:trPr>
        <w:tc>
          <w:tcPr>
            <w:tcW w:w="7196" w:type="dxa"/>
          </w:tcPr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Al fine di ottimizzare i tempi di allestimento della seduta, si richiedono reagenti in formato cartuccia monouso.</w:t>
            </w:r>
          </w:p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CB76D5" w:rsidRPr="001D11BC" w:rsidRDefault="00CB76D5" w:rsidP="00CB76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76D5" w:rsidRPr="00516377" w:rsidRDefault="00CB76D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76D5" w:rsidRPr="00516377" w:rsidTr="009E786E">
        <w:trPr>
          <w:trHeight w:val="20"/>
        </w:trPr>
        <w:tc>
          <w:tcPr>
            <w:tcW w:w="7196" w:type="dxa"/>
          </w:tcPr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Valutazione della soluzione progettuale in riferimento alla salute e benessere degli operatori in relazione al rischio da esposizione ad agenti 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biologici. In conformità all'art. 272 punti 2b e 2c del D.lgs. 81/08 (Testo Unico sulla salute e sicurezza sul lavoro), sarà valutata positivamente la soluzione che consenta di ridurre il più possibile la manipolazione del campione. Allegare scheda tecnica e manuale operatore integrale, indicando riferimenti precisi a attività di pretrattamento e manipolazione del campione.</w:t>
            </w:r>
          </w:p>
        </w:tc>
        <w:tc>
          <w:tcPr>
            <w:tcW w:w="2658" w:type="dxa"/>
          </w:tcPr>
          <w:p w:rsidR="00CB76D5" w:rsidRPr="00516377" w:rsidRDefault="00CB76D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76D5" w:rsidRPr="00516377" w:rsidTr="009E786E">
        <w:trPr>
          <w:trHeight w:val="20"/>
        </w:trPr>
        <w:tc>
          <w:tcPr>
            <w:tcW w:w="7196" w:type="dxa"/>
          </w:tcPr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Per favorire l’organizzazione in urgenza, si richiede di poter caricare i campioni senza interruzione delle analisi in corso.</w:t>
            </w:r>
          </w:p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CB76D5" w:rsidRPr="001D11BC" w:rsidRDefault="00CB76D5" w:rsidP="00CB76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76D5" w:rsidRPr="00516377" w:rsidRDefault="00CB76D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76D5" w:rsidRPr="00516377" w:rsidTr="009E786E">
        <w:trPr>
          <w:trHeight w:val="20"/>
        </w:trPr>
        <w:tc>
          <w:tcPr>
            <w:tcW w:w="7196" w:type="dxa"/>
          </w:tcPr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Possibilità di visualizzare le curve di amplificazione in tempo reale</w:t>
            </w:r>
          </w:p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CB76D5" w:rsidRPr="001D11BC" w:rsidRDefault="00CB76D5" w:rsidP="00CB76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76D5" w:rsidRPr="00516377" w:rsidRDefault="00CB76D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76D5" w:rsidRPr="00516377" w:rsidTr="009E786E">
        <w:trPr>
          <w:trHeight w:val="20"/>
        </w:trPr>
        <w:tc>
          <w:tcPr>
            <w:tcW w:w="7196" w:type="dxa"/>
          </w:tcPr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Al fine di agevolare la gestione del sistema sarà ritenuto elemento di valutazione la modalità di gestione della calibrazioni. Relazionare.</w:t>
            </w:r>
          </w:p>
        </w:tc>
        <w:tc>
          <w:tcPr>
            <w:tcW w:w="2658" w:type="dxa"/>
          </w:tcPr>
          <w:p w:rsidR="00CB76D5" w:rsidRPr="00516377" w:rsidRDefault="00CB76D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76D5" w:rsidRPr="00516377" w:rsidTr="009E786E">
        <w:trPr>
          <w:trHeight w:val="20"/>
        </w:trPr>
        <w:tc>
          <w:tcPr>
            <w:tcW w:w="7196" w:type="dxa"/>
          </w:tcPr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Presenza a catalogo di un test per la rilevazione di resistenza a Isoniazide,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Etionamide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e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Fluorochinolone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da campione respiratorio positivo per MTB</w:t>
            </w:r>
          </w:p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CB76D5" w:rsidRPr="001D11BC" w:rsidRDefault="00CB76D5" w:rsidP="00CB76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76D5" w:rsidRPr="00516377" w:rsidRDefault="00CB76D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76D5" w:rsidRPr="00516377" w:rsidTr="009E786E">
        <w:trPr>
          <w:trHeight w:val="20"/>
        </w:trPr>
        <w:tc>
          <w:tcPr>
            <w:tcW w:w="7196" w:type="dxa"/>
          </w:tcPr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Presenza a catalogo di un test per la rilevazione di geni per la resistenza alla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Vancomicina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(VRE)</w:t>
            </w:r>
          </w:p>
          <w:p w:rsidR="00CB76D5" w:rsidRPr="001D11BC" w:rsidRDefault="00CB76D5" w:rsidP="00CB76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76D5" w:rsidRPr="00516377" w:rsidRDefault="00CB76D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76D5" w:rsidRPr="00516377" w:rsidTr="009E786E">
        <w:trPr>
          <w:trHeight w:val="20"/>
        </w:trPr>
        <w:tc>
          <w:tcPr>
            <w:tcW w:w="7196" w:type="dxa"/>
          </w:tcPr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Presenza a catalogo di un test di identificazione per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Staphilococcus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aureus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e resistenza alla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Meticillina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(MRSA)</w:t>
            </w:r>
          </w:p>
          <w:p w:rsidR="00CB76D5" w:rsidRPr="001D11BC" w:rsidRDefault="00CB76D5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CB76D5" w:rsidRPr="001D11BC" w:rsidRDefault="00CB76D5" w:rsidP="00CB76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658" w:type="dxa"/>
          </w:tcPr>
          <w:p w:rsidR="00CB76D5" w:rsidRPr="00516377" w:rsidRDefault="00CB76D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CB76D5">
      <w:bookmarkStart w:id="1" w:name="_GoBack"/>
      <w:bookmarkEnd w:id="1"/>
      <w:r>
        <w:t>+</w:t>
      </w:r>
    </w:p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F2245"/>
    <w:multiLevelType w:val="multilevel"/>
    <w:tmpl w:val="D8025B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477FF5"/>
    <w:rsid w:val="0065362A"/>
    <w:rsid w:val="00CB76D5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qFormat/>
    <w:rsid w:val="00CB76D5"/>
    <w:pPr>
      <w:widowControl/>
      <w:autoSpaceDE/>
      <w:spacing w:before="280" w:after="28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qFormat/>
    <w:rsid w:val="00CB76D5"/>
    <w:pPr>
      <w:widowControl/>
      <w:autoSpaceDE/>
      <w:spacing w:before="280" w:after="28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3</cp:revision>
  <dcterms:created xsi:type="dcterms:W3CDTF">2024-07-10T06:38:00Z</dcterms:created>
  <dcterms:modified xsi:type="dcterms:W3CDTF">2024-07-15T08:27:00Z</dcterms:modified>
</cp:coreProperties>
</file>